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 2026</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HARROW, INC.</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001-35814</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45-0567010</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5" w:type="dxa"/>
        <w:jc w:val="left"/>
        <w:tblInd w:w="0" w:type="dxa"/>
        <w:tblLayout w:type="fixed"/>
        <w:tblCellMar>
          <w:top w:w="28" w:type="dxa"/>
          <w:left w:w="28" w:type="dxa"/>
          <w:bottom w:w="28" w:type="dxa"/>
          <w:right w:w="28" w:type="dxa"/>
        </w:tblCellMar>
      </w:tblPr>
      <w:tblGrid>
        <w:gridCol w:w="1195"/>
        <w:gridCol w:w="1048"/>
        <w:gridCol w:w="1057"/>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1A Burton Hills Blvd., Suite 200</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Nashville, Tennessee</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37215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20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(615) 733-4730</w:t>
      </w:r>
    </w:p>
    <w:tbl>
      <w:tblPr>
        <w:tblW w:w="6008" w:type="dxa"/>
        <w:jc w:val="center"/>
        <w:tblInd w:w="0" w:type="dxa"/>
        <w:tblLayout w:type="fixed"/>
        <w:tblCellMar>
          <w:top w:w="28" w:type="dxa"/>
          <w:left w:w="28" w:type="dxa"/>
          <w:bottom w:w="28" w:type="dxa"/>
          <w:right w:w="28" w:type="dxa"/>
        </w:tblCellMar>
      </w:tblPr>
      <w:tblGrid>
        <w:gridCol w:w="124"/>
        <w:gridCol w:w="109"/>
        <w:gridCol w:w="109"/>
        <w:gridCol w:w="1762"/>
        <w:gridCol w:w="1762"/>
        <w:gridCol w:w="177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78" w:type="dxa"/>
        <w:jc w:val="left"/>
        <w:tblInd w:w="0" w:type="dxa"/>
        <w:tblLayout w:type="fixed"/>
        <w:tblCellMar>
          <w:top w:w="28" w:type="dxa"/>
          <w:left w:w="28" w:type="dxa"/>
          <w:bottom w:w="28" w:type="dxa"/>
          <w:right w:w="28" w:type="dxa"/>
        </w:tblCellMar>
      </w:tblPr>
      <w:tblGrid>
        <w:gridCol w:w="1304"/>
        <w:gridCol w:w="1141"/>
        <w:gridCol w:w="1155"/>
        <w:gridCol w:w="109"/>
        <w:gridCol w:w="109"/>
        <w:gridCol w:w="109"/>
        <w:gridCol w:w="539"/>
        <w:gridCol w:w="539"/>
        <w:gridCol w:w="541"/>
        <w:gridCol w:w="109"/>
        <w:gridCol w:w="109"/>
        <w:gridCol w:w="109"/>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HROW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both"/>
        <w:rPr/>
      </w:pPr>
      <w:r>
        <w:rPr>
          <w:rFonts w:ascii="Times New Roman;serif" w:hAnsi="Times New Roman;serif"/>
          <w:b w:val="false"/>
          <w:color w:val="000000"/>
          <w:sz w:val="20"/>
        </w:rPr>
        <w:t xml:space="preserve">Indicate by check mark whether the registrant is an emerging growth company as defined in Rule 405 of the Securities Act of 1933 or Rule 12b-2 of the Securities Exchange Act of 1934: Emerging growth company </w:t>
      </w:r>
      <w:r>
        <w:rPr>
          <w:color w:val="000000"/>
        </w:rPr>
        <w:t>☐</w:t>
      </w:r>
    </w:p>
    <w:p>
      <w:pPr>
        <w:pStyle w:val="TextBody"/>
        <w:bidi w:val="0"/>
        <w:spacing w:lineRule="auto" w:line="288" w:before="0" w:after="2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As previously disclosed, on August 3, 2026, Harrow, Inc. (the "Company") entered into an Asset Purchase Agreement (the "Original Purchase Agreement") with Viatris Inc. ("Viatris") relating to the acquisition of TYRVAYA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(varenicline solution) nasal spray 0.03 mg ("TYRVAYA"), a cholinergic agonist indicated for the treatment of the signs and symptoms of dry eye disease.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2026, the Company and Viatris amended and restated the Original Purchase Agreement in its entirety (as so amended and restated, the "Purchase Agreement"). Under the Purchase Agreement, Viatris retains the rights to commercialize TYRVAYA in Japan, and the assets acquired by the Company exclude those rights. In connection with Viatris’s retention of the Japanese rights, the parties also agreed to eliminate the post-Closing purchase price adjustment based on net working capital that was provided for in the Original Purchase Agreement, with the result that the cash consideration paid at the Closing was fixed at $30.0 million. The contingent milestone payments and the other principal terms of the Original Purchase Agreement were not changed in any material respect.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the Company agreed to acquire rights to TYRVAYA in all countries of the world other than Japan. The assets acquired include the related new drug application and other regulatory approvals, intellectual property, technology, inventory and related contracts (collectively, the "Acquired Assets"), and the Company agreed to assume certain specified liabilities relating to the Acquired Assets (the "Assumed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2026, the Company completed the acquisition of the Acquired Assets and assumed the Assumed Liabilities (the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the Company paid Viatris $30.0 million in cash, funded with cash on hand. Pursuant to the Purchase Agreement, the Company is also obligated to pay Viatris up to $70.0 million in contingent milestone payments upon the achievement of specified net sales thresholds for TYRVAYA over twelve-month measurement periods ending on or before December 31, 2029.</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the Company and Viatris also entered into certain ancillary agreements, including a transition services agreement, intellectual property assignment agreements and a letter agreement relating to TYRVAYA in Japan (the "Side Letter"), under which Viatris is obligated to pay the Company tiered royalties on annual net sales of TYRVAYA in Japan and the parties agreed to negotiate a collaboration or similar agreement governing Viatris’s research, development, manufacture and commercialization of TYRVAYA in Japan and the related exchange of data and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Purchase Agreement is a summary only, does not purport to be complete, and is qualified in its entirety by reference to the full text of the Purchase Agreement. The Company will file the Purchase Agreement as an exhibit to its Quarterly Report on Form 10-Q for the quarterly period ended September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5, 2026, the Company issued a press release announcing the completion of the acquisition of the Acquired Assets. A copy of the press release is furnished as Exhibit 99.1 to this Current Report on Form 8-K and is incorporated herein by reference.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contains forward-looking statements, including statements regarding the potential achievement of contingent milestone payments, the negotiation and execution of the collaboration agreement contemplated by the Side Letter and the potential receipt of royalties on sales of TYRVAYA in Japan. Actual results may differ materially,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reasons described in the Company's filings with the Securities and Exchange Commission. Except as required by law, the Company undertakes no obligation to update any forward-looking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080" w:type="dxa"/>
        <w:jc w:val="left"/>
        <w:tblInd w:w="0" w:type="dxa"/>
        <w:tblLayout w:type="fixed"/>
        <w:tblCellMar>
          <w:top w:w="28" w:type="dxa"/>
          <w:left w:w="28" w:type="dxa"/>
          <w:bottom w:w="28" w:type="dxa"/>
          <w:right w:w="28" w:type="dxa"/>
        </w:tblCellMar>
      </w:tblPr>
      <w:tblGrid>
        <w:gridCol w:w="174"/>
        <w:gridCol w:w="153"/>
        <w:gridCol w:w="154"/>
        <w:gridCol w:w="1933"/>
        <w:gridCol w:w="1933"/>
        <w:gridCol w:w="273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row-20261001xex991.htm">
              <w:r>
                <w:rPr>
                  <w:rStyle w:val="InternetLink"/>
                  <w:rFonts w:ascii="Times New Roman;serif" w:hAnsi="Times New Roman;serif"/>
                  <w:b w:val="false"/>
                  <w:color w:val="000080"/>
                  <w:sz w:val="20"/>
                  <w:u w:val="single"/>
                </w:rPr>
                <w:t xml:space="preserve">Press Release of Harrow, Inc., dated October </w:t>
              </w:r>
            </w:hyperlink>
            <w:hyperlink w:anchor="hrow-20261001xex991.htm">
              <w:r>
                <w:rPr>
                  <w:rStyle w:val="InternetLink"/>
                  <w:rFonts w:ascii="Times New Roman;serif" w:hAnsi="Times New Roman;serif"/>
                  <w:b w:val="false"/>
                  <w:color w:val="000080"/>
                  <w:sz w:val="20"/>
                  <w:u w:val="single"/>
                </w:rPr>
                <w:t>5</w:t>
              </w:r>
            </w:hyperlink>
            <w:hyperlink w:anchor="hrow-20261001xex991.htm">
              <w:r>
                <w:rPr>
                  <w:rStyle w:val="InternetLink"/>
                  <w:rFonts w:ascii="Times New Roman;serif" w:hAnsi="Times New Roman;serif"/>
                  <w:b w:val="false"/>
                  <w:color w:val="000080"/>
                  <w:sz w:val="20"/>
                  <w:u w:val="single"/>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19" w:type="dxa"/>
        <w:jc w:val="left"/>
        <w:tblInd w:w="0" w:type="dxa"/>
        <w:tblLayout w:type="fixed"/>
        <w:tblCellMar>
          <w:top w:w="28" w:type="dxa"/>
          <w:left w:w="28" w:type="dxa"/>
          <w:bottom w:w="28" w:type="dxa"/>
          <w:right w:w="28" w:type="dxa"/>
        </w:tblCellMar>
      </w:tblPr>
      <w:tblGrid>
        <w:gridCol w:w="727"/>
        <w:gridCol w:w="638"/>
        <w:gridCol w:w="644"/>
        <w:gridCol w:w="237"/>
        <w:gridCol w:w="237"/>
        <w:gridCol w:w="237"/>
        <w:gridCol w:w="870"/>
        <w:gridCol w:w="870"/>
        <w:gridCol w:w="1259"/>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HARROW,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5, 2026</w:t>
            </w:r>
          </w:p>
        </w:tc>
        <w:tc>
          <w:tcPr>
            <w:tcW w:w="7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Andrew R. Boll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Andrew R. Boll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38300" cy="8667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638300" cy="8667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Harrow Closes Acquisition of TYRVAYA®</w:t>
      </w:r>
    </w:p>
    <w:p>
      <w:pPr>
        <w:pStyle w:val="TextBody"/>
        <w:bidi w:val="0"/>
        <w:spacing w:before="0" w:after="0"/>
        <w:jc w:val="center"/>
        <w:rPr/>
      </w:pPr>
      <w:r>
        <w:rPr/>
      </w:r>
    </w:p>
    <w:p>
      <w:pPr>
        <w:pStyle w:val="TextBody"/>
        <w:bidi w:val="0"/>
        <w:spacing w:lineRule="auto" w:line="256" w:before="0" w:after="0"/>
        <w:jc w:val="center"/>
        <w:rPr>
          <w:rFonts w:ascii="sans-serif" w:hAnsi="sans-serif"/>
          <w:b/>
          <w:color w:val="000000"/>
          <w:sz w:val="24"/>
        </w:rPr>
      </w:pPr>
      <w:r>
        <w:rPr>
          <w:rFonts w:ascii="sans-serif" w:hAnsi="sans-serif"/>
          <w:b/>
          <w:color w:val="000000"/>
          <w:sz w:val="24"/>
        </w:rPr>
        <w:t>First and Only FDA-Approved Nasal Spray for Dry Eye Disease Adds a Differentiated, Drop-Free Treatment Option to Harrow’s Growing Ocular Surface Franchise</w:t>
      </w:r>
    </w:p>
    <w:p>
      <w:pPr>
        <w:pStyle w:val="TextBody"/>
        <w:bidi w:val="0"/>
        <w:spacing w:before="0" w:after="0"/>
        <w:jc w:val="center"/>
        <w:rPr/>
      </w:pPr>
      <w:r>
        <w:rPr/>
      </w:r>
    </w:p>
    <w:p>
      <w:pPr>
        <w:pStyle w:val="TextBody"/>
        <w:bidi w:val="0"/>
        <w:spacing w:lineRule="auto" w:line="256" w:before="0" w:after="0"/>
        <w:jc w:val="left"/>
        <w:rPr/>
      </w:pPr>
      <w:r>
        <w:rPr>
          <w:rFonts w:ascii="sans-serif" w:hAnsi="sans-serif"/>
          <w:b/>
          <w:color w:val="000000"/>
          <w:sz w:val="24"/>
        </w:rPr>
        <w:t xml:space="preserve">NASHVILLE, Tenn., October 5, 2026 — </w:t>
      </w:r>
      <w:r>
        <w:rPr>
          <w:rFonts w:ascii="sans-serif" w:hAnsi="sans-serif"/>
          <w:b w:val="false"/>
          <w:color w:val="000000"/>
          <w:sz w:val="24"/>
        </w:rPr>
        <w:t>Harrow (Nasdaq: HROW),</w:t>
      </w:r>
      <w:r>
        <w:rPr>
          <w:color w:val="000000"/>
        </w:rPr>
        <w:t xml:space="preserve"> </w:t>
      </w:r>
      <w:r>
        <w:rPr>
          <w:rFonts w:ascii="sans-serif" w:hAnsi="sans-serif"/>
          <w:b w:val="false"/>
          <w:color w:val="000000"/>
          <w:sz w:val="22"/>
        </w:rPr>
        <w:t xml:space="preserve">a leading provider of ophthalmic disease management solutions in North America, today announced that it has closed its </w:t>
      </w:r>
      <w:r>
        <w:rPr>
          <w:rFonts w:ascii="sans-serif" w:hAnsi="sans-serif"/>
          <w:b w:val="false"/>
          <w:color w:val="000000"/>
          <w:sz w:val="24"/>
        </w:rPr>
        <w:t>previously announced</w:t>
      </w:r>
      <w:r>
        <w:rPr>
          <w:color w:val="000000"/>
        </w:rPr>
        <w:t xml:space="preserve"> </w:t>
      </w:r>
      <w:r>
        <w:rPr>
          <w:rFonts w:ascii="sans-serif" w:hAnsi="sans-serif"/>
          <w:b w:val="false"/>
          <w:color w:val="000000"/>
          <w:sz w:val="22"/>
        </w:rPr>
        <w:t>acquisition of TYRVAYA® (varenicline solution) nasal spray 0.03 mg from Viatris Inc., a global healthcare company. At closing, Harrow acquired worldwide rights to TYRVAYA, except for Japan. Viatris retained the rights to commercialize TYRVAYA in Japan and agreed to pay Harrow royalties on any future net sales there. Consistent with the terms announced in August, Harrow paid $30 million in cash at closing and may pay up to $70 million in contingent milestone payments tied to TYRVAYA’s net sales, for potential total consideration of up to $100 million. The closing payment was funded with cash on hand.</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TYRVAYA is a cholinergic agonist indicated for the treatment of the signs and symptoms of dry eye disease (DED) and is the first and only FDA-approved nasal spray for DED. Unlike topical ophthalmic therapies, TYRVAYA is administered through the nose and is thought to activate the trigeminal parasympathetic pathway to stimulate basal tear production. TYRVAYA is approved in the U.S., China, and Taiwan, with marketing applications pending in additional markets.</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The addition of TYRVAYA meaningfully expands Harrow’s position in the large and growing U.S. dry eye market and complements VEVYE®, Harrow’s flagship prescription therapy for DED. With two highly differentiated branded prescription products, Harrow believes it can give eyecare professionals greater flexibility to individualize treatment based on their patients' needs and preferences.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2"/>
        </w:rPr>
        <w:t>Today marks an important step forward for Harrow and for the physicians and patients we serve,” said Mark L. Baum, Chief Executive Officer of Harrow. “Dry eye disease is complex and multifactorial, and there is no single treatment approach that works for every patient. VEVYE and TYRVAYA approach dry eye differently and give eyecare professionals two distinct tools from one organization committed to serving this market. VEVYE remains the cornerstone of our dry eye franchise, while TYRVAYA gives us an established, complementary prescription brand with a unique route of administration and an existing base of physicians who know and use the product.”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Baum added, “We see a significant commercial opportunity ahead. TYRVAYA comes to Harrow with meaningful physician awareness, an established prescription base, and years of real-world clinical experience. By combining that foundation with Harrow’s expanding Ocular Surface commercial organization, market access capabilities, and focus on patient access and affordability, we believe we can introduce TYRVAYA to many more eyecare professionals and patients while also expanding awareness of VEVYE among existing TYRVAYA prescribers.”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Expanding Harrow’s Ocular Surface Commercial Platform</w:t>
      </w:r>
    </w:p>
    <w:p>
      <w:pPr>
        <w:pStyle w:val="TextBody"/>
        <w:bidi w:val="0"/>
        <w:spacing w:before="0" w:after="0"/>
        <w:jc w:val="left"/>
        <w:rPr/>
      </w:pPr>
      <w:r>
        <w:rPr/>
      </w:r>
    </w:p>
    <w:p>
      <w:pPr>
        <w:pStyle w:val="TextBody"/>
        <w:bidi w:val="0"/>
        <w:spacing w:lineRule="auto" w:line="256"/>
        <w:jc w:val="left"/>
        <w:rPr>
          <w:rFonts w:ascii="sans-serif" w:hAnsi="sans-serif"/>
          <w:b w:val="false"/>
          <w:color w:val="000000"/>
          <w:sz w:val="22"/>
        </w:rPr>
      </w:pPr>
      <w:r>
        <w:rPr>
          <w:rFonts w:ascii="sans-serif" w:hAnsi="sans-serif"/>
          <w:b w:val="false"/>
          <w:color w:val="000000"/>
          <w:sz w:val="22"/>
        </w:rPr>
        <w:t>TYRVAYA will be available to eyecare professionals through Harrow's commercial organization immediately after closing. As part of the acquisition, Harrow expects approximately 40 experienced personnel from Viatris, with established knowledge of TYRVAYA and the dry eye market, to join and augment Harrow’s existing Ocular Surface commercial team. Harrow expects to onboard these new colleagues during the fourth quarter of 2026. Harrow’s expanded Ocular Surface team will support both VEVYE and TYRVAYA as the integration progresses.</w:t>
      </w:r>
    </w:p>
    <w:p>
      <w:pPr>
        <w:pStyle w:val="TextBody"/>
        <w:bidi w:val="0"/>
        <w:spacing w:lineRule="auto" w:line="288" w:before="0" w:after="0"/>
        <w:jc w:val="left"/>
        <w:rPr>
          <w:rFonts w:ascii="sans-serif" w:hAnsi="sans-serif"/>
          <w:b w:val="false"/>
          <w:color w:val="000000"/>
          <w:sz w:val="21"/>
        </w:rPr>
      </w:pPr>
      <w:r>
        <w:rPr>
          <w:rFonts w:ascii="sans-serif" w:hAnsi="sans-serif"/>
          <w:b w:val="false"/>
          <w:color w:val="000000"/>
          <w:sz w:val="21"/>
        </w:rPr>
        <w:t>Harrow Closes Acquisition of TYRVAYA®</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1"/>
        </w:rPr>
      </w:pPr>
      <w:r>
        <w:rPr>
          <w:rFonts w:ascii="sans-serif" w:hAnsi="sans-serif"/>
          <w:b w:val="false"/>
          <w:color w:val="000000"/>
          <w:sz w:val="21"/>
        </w:rPr>
        <w:t>Page 2</w:t>
      </w:r>
    </w:p>
    <w:p>
      <w:pPr>
        <w:pStyle w:val="TextBody"/>
        <w:bidi w:val="0"/>
        <w:spacing w:lineRule="auto" w:line="300" w:before="0" w:after="0"/>
        <w:jc w:val="left"/>
        <w:rPr>
          <w:rFonts w:ascii="sans-serif" w:hAnsi="sans-serif"/>
          <w:b w:val="false"/>
          <w:color w:val="000000"/>
          <w:sz w:val="21"/>
        </w:rPr>
      </w:pPr>
      <w:r>
        <w:rPr>
          <w:rFonts w:ascii="sans-serif" w:hAnsi="sans-serif"/>
          <w:b w:val="false"/>
          <w:color w:val="000000"/>
          <w:sz w:val="21"/>
        </w:rPr>
        <w:t>October 5,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Harrow believes the combination of two differentiated dry eye brands and a larger, experienced field organization create several attractive commercial opportunities: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color w:val="000000"/>
          <w:sz w:val="24"/>
        </w:rPr>
        <w:t>Expanded prescriber reach:</w:t>
      </w:r>
      <w:r>
        <w:rPr>
          <w:color w:val="000000"/>
        </w:rPr>
        <w:t xml:space="preserve"> </w:t>
      </w:r>
      <w:r>
        <w:rPr>
          <w:rFonts w:ascii="sans-serif" w:hAnsi="sans-serif"/>
          <w:b w:val="false"/>
          <w:color w:val="000000"/>
          <w:sz w:val="22"/>
        </w:rPr>
        <w:t>The approximately 40 personnel expected to join Harrow will materially increase the size of Harrow’s</w:t>
      </w:r>
      <w:r>
        <w:rPr>
          <w:color w:val="000000"/>
        </w:rPr>
        <w:t xml:space="preserve"> </w:t>
      </w:r>
      <w:r>
        <w:rPr>
          <w:rFonts w:ascii="sans-serif" w:hAnsi="sans-serif"/>
          <w:b w:val="false"/>
          <w:color w:val="000000"/>
          <w:sz w:val="22"/>
        </w:rPr>
        <w:t>Ocular Surface team, expanding its reach and frequency of engagement with ophthalmologists and optometrists who manage dry eye disease.</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Broader portfolio engagement:</w:t>
      </w:r>
      <w:r>
        <w:rPr>
          <w:color w:val="000000"/>
        </w:rPr>
        <w:t xml:space="preserve"> </w:t>
      </w:r>
      <w:r>
        <w:rPr>
          <w:rFonts w:ascii="sans-serif" w:hAnsi="sans-serif"/>
          <w:b w:val="false"/>
          <w:color w:val="000000"/>
          <w:sz w:val="22"/>
        </w:rPr>
        <w:t>TYRVAYA brings an established prescriber base and meaningful familiarity among eyecare professionals. Bringing VEVYE and TYRVAYA together creates opportunities to deepen engagement across both brands and expand utilization across Harrow’s dry eye portfolio.</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Commercial efficiency:</w:t>
      </w:r>
      <w:r>
        <w:rPr>
          <w:color w:val="000000"/>
        </w:rPr>
        <w:t xml:space="preserve"> </w:t>
      </w:r>
      <w:r>
        <w:rPr>
          <w:rFonts w:ascii="sans-serif" w:hAnsi="sans-serif"/>
          <w:b w:val="false"/>
          <w:color w:val="000000"/>
          <w:sz w:val="22"/>
        </w:rPr>
        <w:t>Both VEVYE and TYRVAYA utilize PhilRx as their primary specialty pharmacy and will be supported by a single Ocular Surface commercial organization, allowing Harrow to leverage shared commercial, market access, patient-support, and operational infrastructure across both brands.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Harrow expects TYRVAYA to contribute more than $30 million in revenue in 2027. With commercial integration beginning in the fourth quarter of 2026, Harrow believes TYRVAYA’s established prescription base, physician awareness, and experienced commercial team, combined with Harrow’s dedicated Ocular Surface infrastructure, provide a strong foundation for growth in 2027 and beyond.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2"/>
        </w:rPr>
        <w:t>TYRVAYA is a product I have used extensively in my dry eye practice, and its nasal route of administration makes it a truly differentiated treatment option,” said Laura Periman, MD, a board-certified ophthalmologist at Periman Eye Institute. “For patients who struggle with eye drops or contact lens wearers who want an option that does not require removing their lenses, TYRVAYA can fit very well into their treatment routine. I have seen firsthand the value of stimulating a patient’s own tear production, and I am pleased to see TYRVAYA become part of Harrow, a company deeply committed to eyecare and patient access.”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2"/>
        </w:rPr>
        <w:t>VEVYE has become an important option in my dry eye practice because of the clinical benefits it can provide, and TYRVAYA is another therapy I know well and have prescribed for years,” said Paul Karpecki, OD, Director of Cornea and External Disease at Kentucky Eye Institute. “The two products approach dry eye very differently: VEVYE is applied directly to the ocular surface, while TYRVAYA is administered nasally and stimulates natural tear production through a distinct mechanism. Having therapies with different mechanisms and routes of administration gives me greater flexibility to individualize treatment based on each patient’s needs. I’m pleased to see both products together at Harrow, giving physicians more options for patients with this chronic disease.”</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Eyecare professionals can send TYRVAYA prescriptions using their electronic medical record (EMR) software directly to Harrow’s dedicated pharmacy partner, PhilRx. Prescriptions can also be sent to any retail pharmacy. TYRVAYA is fully stocked in the wholesale distribution channel, including McKesson, Cardinal, and Cencora, and can be shipped to any retail pharmacy, generally within 24 hours of order placement.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Interested patients should ask their trusted eyecare professional whether TYRVAYA and VEYVE are right for them.</w:t>
      </w:r>
    </w:p>
    <w:p>
      <w:pPr>
        <w:pStyle w:val="TextBody"/>
        <w:bidi w:val="0"/>
        <w:spacing w:before="0" w:after="283"/>
        <w:jc w:val="left"/>
        <w:rPr/>
      </w:pPr>
      <w:r>
        <w:rPr/>
      </w:r>
    </w:p>
    <w:p>
      <w:pPr>
        <w:pStyle w:val="TextBody"/>
        <w:bidi w:val="0"/>
        <w:spacing w:lineRule="auto" w:line="288" w:before="0" w:after="0"/>
        <w:jc w:val="left"/>
        <w:rPr>
          <w:rFonts w:ascii="sans-serif" w:hAnsi="sans-serif"/>
          <w:b w:val="false"/>
          <w:color w:val="000000"/>
          <w:sz w:val="21"/>
        </w:rPr>
      </w:pPr>
      <w:r>
        <w:rPr>
          <w:rFonts w:ascii="sans-serif" w:hAnsi="sans-serif"/>
          <w:b w:val="false"/>
          <w:color w:val="000000"/>
          <w:sz w:val="21"/>
        </w:rPr>
        <w:t>Harrow Closes Acquisition of TYRVAYA®</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1"/>
        </w:rPr>
      </w:pPr>
      <w:r>
        <w:rPr>
          <w:rFonts w:ascii="sans-serif" w:hAnsi="sans-serif"/>
          <w:b w:val="false"/>
          <w:color w:val="000000"/>
          <w:sz w:val="21"/>
        </w:rPr>
        <w:t>Page 3</w:t>
      </w:r>
    </w:p>
    <w:p>
      <w:pPr>
        <w:pStyle w:val="TextBody"/>
        <w:bidi w:val="0"/>
        <w:spacing w:lineRule="auto" w:line="300" w:before="0" w:after="0"/>
        <w:jc w:val="left"/>
        <w:rPr>
          <w:rFonts w:ascii="sans-serif" w:hAnsi="sans-serif"/>
          <w:b w:val="false"/>
          <w:color w:val="000000"/>
          <w:sz w:val="21"/>
        </w:rPr>
      </w:pPr>
      <w:r>
        <w:rPr>
          <w:rFonts w:ascii="sans-serif" w:hAnsi="sans-serif"/>
          <w:b w:val="false"/>
          <w:color w:val="000000"/>
          <w:sz w:val="21"/>
        </w:rPr>
        <w:t>October 5, 2026</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VEVYE® (cyclosporine ophthalmic solution) 0.1%</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INDICATIONS AND USAGE</w:t>
      </w:r>
      <w:r>
        <w:rPr>
          <w:color w:val="000000"/>
        </w:rPr>
        <w:t xml:space="preserve">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VEVYE® (cyclosporine ophthalmic solution) 0.1% is indicated for the treatment of the signs and symptoms of dry eye disease.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Important Safety Information</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WARNINGS AND PRECAUTIONS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Potential for Eye Injury and Contamination: To avoid the potential for eye injury and/or contamination, patients should not touch the bottle tip to the eye or other surfaces.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Use with Contact Lenses: VEVYE® should not be administered while wearing contact lenses. If contact lenses are worn, they should be removed prior to administration of the solution. Lenses may be reinserted 15 minutes following the administration of VEVYE®.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ADVERSE REACTIONS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 clinical trials with 738 subjects receiving at least 1 dose of VEVYE®, the most common adverse reactions were instillation site reactions (8%) and temporary decreases in visual acuity (3%).</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 xml:space="preserve">Please see full </w:t>
      </w:r>
      <w:r>
        <w:rPr>
          <w:rFonts w:ascii="sans-serif" w:hAnsi="sans-serif"/>
          <w:b w:val="false"/>
          <w:color w:val="000000"/>
          <w:sz w:val="24"/>
        </w:rPr>
        <w:t>Prescribing Information</w:t>
      </w:r>
      <w:r>
        <w:rPr>
          <w:color w:val="000000"/>
        </w:rPr>
        <w:t xml:space="preserve"> </w:t>
      </w:r>
      <w:r>
        <w:rPr>
          <w:rFonts w:ascii="sans-serif" w:hAnsi="sans-serif"/>
          <w:b w:val="false"/>
          <w:color w:val="000000"/>
          <w:sz w:val="22"/>
        </w:rPr>
        <w:t>(vevye.com/files/VEVYE-Prescribing-Information.pdf) for VEVYE.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TYRVAYA® (varenicline solution) nasal spray 0.03 mg</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INDICATIONS AND USAGE</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TYRVAYA (varenicline solution) nasal spray is a cholinergic agonist indicated for the treatment of the signs and symptoms of dry eye disease.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Important Safety Information</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ADVERSE REACTIONS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most common adverse reaction reported in 82% of patients was sneezing. Events that were reported in 5–16% of patients were cough, throat irritation, and instillation-site (nose) irritation.</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 xml:space="preserve">Please see full </w:t>
      </w:r>
      <w:r>
        <w:rPr>
          <w:rFonts w:ascii="sans-serif" w:hAnsi="sans-serif"/>
          <w:b w:val="false"/>
          <w:color w:val="000000"/>
          <w:sz w:val="24"/>
        </w:rPr>
        <w:t>Prescribing Information</w:t>
      </w:r>
      <w:r>
        <w:rPr>
          <w:color w:val="000000"/>
        </w:rPr>
        <w:t xml:space="preserve"> </w:t>
      </w:r>
      <w:r>
        <w:rPr>
          <w:rFonts w:ascii="sans-serif" w:hAnsi="sans-serif"/>
          <w:b w:val="false"/>
          <w:color w:val="000000"/>
          <w:sz w:val="22"/>
        </w:rPr>
        <w:t>(www.tyrvaya-pro.com/files/prescribing-information.pdf) for TYRVAYA.</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You are encouraged to report negative side effects of prescription drugs to the FDA. Visit www.fda.gov/medwatch or call 1-800-FDA-1088.</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Harrow</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diseases of the retina. Harrow was founded with a commitment to deliver safe, effective, accessible, and affordable medications that enhance patient compliance and improve clinical outcomes. For more information about Harrow, please visit </w:t>
      </w:r>
      <w:r>
        <w:rPr>
          <w:rFonts w:ascii="sans-serif" w:hAnsi="sans-serif"/>
          <w:b w:val="false"/>
          <w:color w:val="0000FF"/>
          <w:sz w:val="22"/>
        </w:rPr>
        <w:t xml:space="preserve">harrow.com </w:t>
      </w:r>
      <w:r>
        <w:rPr>
          <w:rFonts w:ascii="sans-serif" w:hAnsi="sans-serif"/>
          <w:b w:val="false"/>
          <w:color w:val="000000"/>
          <w:sz w:val="22"/>
        </w:rPr>
        <w:t xml:space="preserve">and connect with us on </w:t>
      </w:r>
      <w:r>
        <w:rPr>
          <w:rFonts w:ascii="sans-serif" w:hAnsi="sans-serif"/>
          <w:b w:val="false"/>
          <w:color w:val="0000FF"/>
          <w:sz w:val="22"/>
        </w:rPr>
        <w:t>LinkedIn (www.linkedin.com/company/harrow-health-inc/)</w:t>
      </w:r>
      <w:r>
        <w:rPr>
          <w:rFonts w:ascii="sans-serif" w:hAnsi="sans-serif"/>
          <w:b w:val="false"/>
          <w:color w:val="000000"/>
          <w:sz w:val="22"/>
        </w:rPr>
        <w:t>.</w:t>
      </w:r>
    </w:p>
    <w:p>
      <w:pPr>
        <w:pStyle w:val="TextBody"/>
        <w:bidi w:val="0"/>
        <w:spacing w:before="0" w:after="283"/>
        <w:jc w:val="left"/>
        <w:rPr/>
      </w:pPr>
      <w:r>
        <w:rPr/>
      </w:r>
    </w:p>
    <w:p>
      <w:pPr>
        <w:pStyle w:val="TextBody"/>
        <w:bidi w:val="0"/>
        <w:spacing w:lineRule="auto" w:line="288" w:before="0" w:after="0"/>
        <w:jc w:val="left"/>
        <w:rPr>
          <w:rFonts w:ascii="sans-serif" w:hAnsi="sans-serif"/>
          <w:b w:val="false"/>
          <w:color w:val="000000"/>
          <w:sz w:val="21"/>
        </w:rPr>
      </w:pPr>
      <w:r>
        <w:rPr>
          <w:rFonts w:ascii="sans-serif" w:hAnsi="sans-serif"/>
          <w:b w:val="false"/>
          <w:color w:val="000000"/>
          <w:sz w:val="21"/>
        </w:rPr>
        <w:t>Harrow Closes Acquisition of TYRVAYA®</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1"/>
        </w:rPr>
      </w:pPr>
      <w:r>
        <w:rPr>
          <w:rFonts w:ascii="sans-serif" w:hAnsi="sans-serif"/>
          <w:b w:val="false"/>
          <w:color w:val="000000"/>
          <w:sz w:val="21"/>
        </w:rPr>
        <w:t>Page 4</w:t>
      </w:r>
    </w:p>
    <w:p>
      <w:pPr>
        <w:pStyle w:val="TextBody"/>
        <w:bidi w:val="0"/>
        <w:spacing w:lineRule="auto" w:line="300" w:before="0" w:after="0"/>
        <w:jc w:val="left"/>
        <w:rPr>
          <w:rFonts w:ascii="sans-serif" w:hAnsi="sans-serif"/>
          <w:b w:val="false"/>
          <w:color w:val="000000"/>
          <w:sz w:val="21"/>
        </w:rPr>
      </w:pPr>
      <w:r>
        <w:rPr>
          <w:rFonts w:ascii="sans-serif" w:hAnsi="sans-serif"/>
          <w:b w:val="false"/>
          <w:color w:val="000000"/>
          <w:sz w:val="21"/>
        </w:rPr>
        <w:t>October 5, 2026</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this acquisition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2025, and other filings with the SEC. Such documents may be read free of charge on the SEC’s web site at sec.gov.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4"/>
          <w:u w:val="single"/>
        </w:rPr>
        <w:t>Investor &amp; Media Contact</w:t>
      </w:r>
      <w:r>
        <w:rPr>
          <w:rFonts w:ascii="sans-serif" w:hAnsi="sans-serif"/>
          <w:b w:val="false"/>
          <w:color w:val="000000"/>
          <w:sz w:val="22"/>
        </w:rPr>
        <w:t>:</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Mike Biega</w:t>
      </w:r>
    </w:p>
    <w:p>
      <w:pPr>
        <w:pStyle w:val="TextBody"/>
        <w:bidi w:val="0"/>
        <w:spacing w:lineRule="auto" w:line="276" w:before="0" w:after="0"/>
        <w:jc w:val="left"/>
        <w:rPr/>
      </w:pPr>
      <w:r>
        <w:rPr>
          <w:rFonts w:ascii="sans-serif" w:hAnsi="sans-serif"/>
          <w:b w:val="false"/>
          <w:color w:val="000000"/>
          <w:sz w:val="22"/>
        </w:rPr>
        <w:t>Vice President of Investor Relations and Communications</w:t>
      </w:r>
      <w:r>
        <w:rPr>
          <w:color w:val="0000FF"/>
        </w:rPr>
        <w:t xml:space="preserve">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mbiega@harrowinc.com</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617-913-8890</w:t>
      </w:r>
    </w:p>
    <w:p>
      <w:pPr>
        <w:pStyle w:val="TextBody"/>
        <w:bidi w:val="0"/>
        <w:spacing w:before="0" w:after="0"/>
        <w:jc w:val="left"/>
        <w:rPr/>
      </w:pPr>
      <w:r>
        <w:rPr/>
      </w:r>
    </w:p>
    <w:p>
      <w:pPr>
        <w:pStyle w:val="TextBody"/>
        <w:bidi w:val="0"/>
        <w:spacing w:lineRule="auto" w:line="268"/>
        <w:jc w:val="center"/>
        <w:rPr/>
      </w:pPr>
      <w:r>
        <w:rPr>
          <w:rFonts w:ascii="sans-serif" w:hAnsi="sans-serif"/>
          <w:b w:val="false"/>
          <w:color w:val="000000"/>
          <w:sz w:val="22"/>
        </w:rPr>
        <w:t>-</w:t>
      </w:r>
      <w:r>
        <w:rPr>
          <w:rFonts w:ascii="sans-serif" w:hAnsi="sans-serif"/>
          <w:b w:val="false"/>
          <w:color w:val="000000"/>
          <w:sz w:val="24"/>
        </w:rPr>
        <w:t>END-</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2801</Words>
  <Characters>16363</Characters>
  <CharactersWithSpaces>19036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